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30" w:firstLineChars="196"/>
        <w:rPr>
          <w:rFonts w:ascii="宋体" w:hAnsi="宋体" w:eastAsia="宋体"/>
          <w:b/>
          <w:sz w:val="32"/>
          <w:szCs w:val="32"/>
        </w:rPr>
      </w:pPr>
    </w:p>
    <w:p>
      <w:pPr>
        <w:snapToGrid w:val="0"/>
        <w:spacing w:line="360" w:lineRule="auto"/>
        <w:rPr>
          <w:rFonts w:ascii="仿宋" w:hAnsi="仿宋" w:eastAsia="仿宋"/>
          <w:b/>
          <w:szCs w:val="28"/>
        </w:rPr>
      </w:pPr>
      <w:r>
        <w:rPr>
          <w:rFonts w:hint="eastAsia" w:ascii="仿宋" w:hAnsi="仿宋" w:eastAsia="仿宋"/>
          <w:b/>
          <w:szCs w:val="28"/>
        </w:rPr>
        <w:t>附表1</w:t>
      </w:r>
    </w:p>
    <w:p>
      <w:pPr>
        <w:snapToGrid w:val="0"/>
        <w:spacing w:line="360" w:lineRule="auto"/>
        <w:jc w:val="center"/>
        <w:rPr>
          <w:rFonts w:ascii="宋体" w:hAnsi="宋体" w:eastAsia="宋体"/>
          <w:b/>
          <w:sz w:val="32"/>
          <w:szCs w:val="32"/>
        </w:rPr>
      </w:pPr>
      <w:r>
        <w:rPr>
          <w:rFonts w:hint="eastAsia" w:ascii="宋体" w:hAnsi="宋体" w:eastAsia="宋体"/>
          <w:b/>
          <w:sz w:val="32"/>
          <w:szCs w:val="32"/>
        </w:rPr>
        <w:t>协会标准项目建议书</w:t>
      </w:r>
    </w:p>
    <w:tbl>
      <w:tblPr>
        <w:tblStyle w:val="5"/>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7"/>
        <w:gridCol w:w="1078"/>
        <w:gridCol w:w="540"/>
        <w:gridCol w:w="540"/>
        <w:gridCol w:w="928"/>
        <w:gridCol w:w="886"/>
        <w:gridCol w:w="957"/>
        <w:gridCol w:w="74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质量分级及“领跑者”评价要求 木质地板</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pPr>
              <w:snapToGrid w:val="0"/>
              <w:spacing w:line="360" w:lineRule="auto"/>
              <w:jc w:val="center"/>
              <w:rPr>
                <w:rFonts w:ascii="宋体" w:hAnsi="宋体" w:eastAsia="宋体"/>
                <w:sz w:val="18"/>
                <w:szCs w:val="18"/>
              </w:rPr>
            </w:pPr>
            <w:r>
              <w:rPr>
                <w:rFonts w:hint="default" w:ascii="宋体" w:hAnsi="宋体" w:eastAsia="宋体"/>
                <w:sz w:val="18"/>
                <w:szCs w:val="18"/>
              </w:rPr>
              <w:t>Assessment requirements for quality grading and forerunner - Wooden floor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制定</w:t>
            </w:r>
          </w:p>
        </w:tc>
        <w:tc>
          <w:tcPr>
            <w:tcW w:w="146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rPr>
              <w:t xml:space="preserve"> 修订</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T/CBMF 133-2021;T/CSTE 0035-2021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pPr>
              <w:snapToGrid w:val="0"/>
              <w:spacing w:line="360" w:lineRule="auto"/>
              <w:rPr>
                <w:rFonts w:ascii="宋体" w:hAnsi="宋体" w:eastAsia="宋体"/>
                <w:sz w:val="18"/>
                <w:szCs w:val="18"/>
              </w:rPr>
            </w:pPr>
            <w:r>
              <w:rPr>
                <w:rFonts w:hint="eastAsia" w:ascii="宋体" w:hAnsi="宋体" w:eastAsia="宋体"/>
                <w:sz w:val="18"/>
                <w:szCs w:val="18"/>
              </w:rPr>
              <w:t>□ IDT</w:t>
            </w:r>
          </w:p>
        </w:tc>
        <w:tc>
          <w:tcPr>
            <w:tcW w:w="1080"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MOD</w:t>
            </w:r>
          </w:p>
        </w:tc>
        <w:tc>
          <w:tcPr>
            <w:tcW w:w="928" w:type="dxa"/>
            <w:vAlign w:val="center"/>
          </w:tcPr>
          <w:p>
            <w:pPr>
              <w:snapToGrid w:val="0"/>
              <w:spacing w:line="360" w:lineRule="auto"/>
              <w:rPr>
                <w:rFonts w:ascii="宋体" w:hAnsi="宋体" w:eastAsia="宋体"/>
                <w:sz w:val="18"/>
                <w:szCs w:val="18"/>
              </w:rPr>
            </w:pPr>
            <w:r>
              <w:rPr>
                <w:rFonts w:hint="eastAsia" w:ascii="宋体" w:hAnsi="宋体" w:eastAsia="宋体"/>
                <w:sz w:val="18"/>
                <w:szCs w:val="18"/>
              </w:rPr>
              <w:t>□ NEQ</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采标号</w:t>
            </w:r>
          </w:p>
        </w:tc>
        <w:tc>
          <w:tcPr>
            <w:tcW w:w="2644" w:type="dxa"/>
            <w:gridSpan w:val="2"/>
            <w:vAlign w:val="center"/>
          </w:tcPr>
          <w:p>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lang w:val="en-US" w:eastAsia="zh-CN"/>
              </w:rPr>
              <w:t>/</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vAlign w:val="center"/>
          </w:tcPr>
          <w:p>
            <w:pPr>
              <w:snapToGrid w:val="0"/>
              <w:spacing w:line="360" w:lineRule="auto"/>
              <w:rPr>
                <w:rFonts w:ascii="宋体" w:hAnsi="宋体" w:eastAsia="宋体"/>
                <w:sz w:val="18"/>
                <w:szCs w:val="18"/>
              </w:rPr>
            </w:pPr>
            <w:r>
              <w:rPr>
                <w:rFonts w:hint="eastAsia" w:ascii="宋体" w:hAnsi="宋体" w:eastAsia="宋体"/>
                <w:sz w:val="18"/>
                <w:szCs w:val="18"/>
              </w:rPr>
              <w:t>79.080</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B</w:t>
            </w:r>
            <w:r>
              <w:rPr>
                <w:rFonts w:hint="eastAsia" w:ascii="宋体" w:hAnsi="宋体" w:eastAsia="宋体"/>
                <w:sz w:val="18"/>
                <w:szCs w:val="18"/>
                <w:lang w:val="en-US" w:eastAsia="zh-CN"/>
              </w:rPr>
              <w:t xml:space="preserve"> </w:t>
            </w:r>
            <w:r>
              <w:rPr>
                <w:rFonts w:hint="eastAsia" w:ascii="宋体" w:hAnsi="宋体" w:eastAsia="宋体"/>
                <w:sz w:val="18"/>
                <w:szCs w:val="18"/>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中国国检测试控股集团股份有限公司</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2024.1-2025.1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2"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pPr>
              <w:snapToGrid w:val="0"/>
              <w:spacing w:line="360" w:lineRule="auto"/>
              <w:rPr>
                <w:rFonts w:hint="default" w:ascii="宋体" w:hAnsi="宋体" w:eastAsia="宋体"/>
                <w:sz w:val="18"/>
                <w:szCs w:val="18"/>
                <w:u w:val="single"/>
                <w:lang w:val="en-US" w:eastAsia="zh-CN"/>
              </w:rPr>
            </w:pPr>
            <w:r>
              <w:rPr>
                <w:rFonts w:hint="eastAsia" w:ascii="宋体" w:hAnsi="宋体" w:eastAsia="宋体"/>
                <w:sz w:val="18"/>
                <w:szCs w:val="18"/>
                <w:u w:val="single"/>
              </w:rPr>
              <w:t>指出标准项目涉及的方面，期望解决的问题；</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lang w:val="en-US" w:eastAsia="zh-CN"/>
              </w:rPr>
            </w:pPr>
            <w:r>
              <w:rPr>
                <w:rFonts w:hint="eastAsia" w:ascii="宋体" w:hAnsi="宋体" w:eastAsia="宋体"/>
                <w:sz w:val="18"/>
                <w:szCs w:val="18"/>
              </w:rPr>
              <w:t>2018年6月，市场监管总局等八部门联合印发</w:t>
            </w:r>
            <w:bookmarkStart w:id="0" w:name="OLE_LINK1"/>
            <w:bookmarkStart w:id="1" w:name="OLE_LINK2"/>
            <w:r>
              <w:rPr>
                <w:rFonts w:hint="eastAsia" w:ascii="宋体" w:hAnsi="宋体" w:eastAsia="宋体"/>
                <w:sz w:val="18"/>
                <w:szCs w:val="18"/>
              </w:rPr>
              <w:t>《关于实施企业标准“领跑者”制度的意见》</w:t>
            </w:r>
            <w:bookmarkEnd w:id="0"/>
            <w:bookmarkEnd w:id="1"/>
            <w:r>
              <w:rPr>
                <w:rFonts w:hint="eastAsia" w:ascii="宋体" w:hAnsi="宋体" w:eastAsia="宋体"/>
                <w:sz w:val="18"/>
                <w:szCs w:val="18"/>
              </w:rPr>
              <w:t>（国市监标准〔2018〕84号），提出以企业标准自我声明公开为基础，建立实施企业标准“领跑者”制度。木地板作为室内装饰装修不可或缺的家居建材，于2019年被纳入了市场监管总局发布的首批百项企业标准“领跑者”重点领域。</w:t>
            </w:r>
            <w:r>
              <w:rPr>
                <w:rFonts w:hint="eastAsia" w:ascii="宋体" w:hAnsi="宋体" w:eastAsia="宋体"/>
                <w:sz w:val="18"/>
                <w:szCs w:val="18"/>
                <w:lang w:val="en-US" w:eastAsia="zh-CN"/>
              </w:rPr>
              <w:t>基于此中国国检测试控股集团股份有限公司于2020年开始成立标准编制组，并在2021年9月份编制完成并发布</w:t>
            </w:r>
            <w:r>
              <w:rPr>
                <w:rFonts w:hint="eastAsia" w:ascii="宋体" w:hAnsi="宋体" w:eastAsia="宋体"/>
                <w:sz w:val="18"/>
                <w:szCs w:val="18"/>
              </w:rPr>
              <w:t>T/CBMF 133-2021;T/CSTE 0035-2021</w:t>
            </w:r>
            <w:r>
              <w:rPr>
                <w:rFonts w:hint="eastAsia" w:ascii="宋体" w:hAnsi="宋体" w:eastAsia="宋体"/>
                <w:sz w:val="18"/>
                <w:szCs w:val="18"/>
                <w:lang w:eastAsia="zh-CN"/>
              </w:rPr>
              <w:t>《</w:t>
            </w:r>
            <w:r>
              <w:rPr>
                <w:rFonts w:hint="eastAsia" w:ascii="宋体" w:hAnsi="宋体" w:eastAsia="宋体"/>
                <w:sz w:val="18"/>
                <w:szCs w:val="18"/>
              </w:rPr>
              <w:t>质量分级及“领跑者”评价要求 木质地板</w:t>
            </w:r>
            <w:r>
              <w:rPr>
                <w:rFonts w:hint="eastAsia" w:ascii="宋体" w:hAnsi="宋体" w:eastAsia="宋体"/>
                <w:sz w:val="18"/>
                <w:szCs w:val="18"/>
                <w:lang w:eastAsia="zh-CN"/>
              </w:rPr>
              <w:t>》。</w:t>
            </w:r>
            <w:r>
              <w:rPr>
                <w:rFonts w:hint="eastAsia" w:ascii="宋体" w:hAnsi="宋体" w:eastAsia="宋体"/>
                <w:sz w:val="18"/>
                <w:szCs w:val="18"/>
                <w:lang w:val="en-US" w:eastAsia="zh-CN"/>
              </w:rPr>
              <w:t>国检集团作为木质地板领域企标领跑者评估机构，经过近两年对企业标准领跑者标准的实践与应用，发现现行的领跑者标准中大部分内容可以满足评估企业标准领跑者要求，但是仍然存在一些问题，例如由于</w:t>
            </w:r>
            <w:r>
              <w:rPr>
                <w:rFonts w:hint="eastAsia" w:ascii="宋体" w:hAnsi="宋体" w:eastAsia="宋体"/>
                <w:sz w:val="18"/>
                <w:szCs w:val="18"/>
              </w:rPr>
              <w:t>T/CBMF 133-2021;T/CSTE 0035-2021</w:t>
            </w:r>
            <w:r>
              <w:rPr>
                <w:rFonts w:hint="eastAsia" w:ascii="宋体" w:hAnsi="宋体" w:eastAsia="宋体"/>
                <w:sz w:val="18"/>
                <w:szCs w:val="18"/>
                <w:lang w:val="en-US" w:eastAsia="zh-CN"/>
              </w:rPr>
              <w:t>编制时依据的产品标准的更新（如GB/T 18103-2013《实木复合地板》在2023年7月1号后由GB/T 18103-2022《实木复合地板》</w:t>
            </w:r>
            <w:bookmarkStart w:id="3" w:name="_GoBack"/>
            <w:bookmarkEnd w:id="3"/>
            <w:r>
              <w:rPr>
                <w:rFonts w:hint="eastAsia" w:ascii="宋体" w:hAnsi="宋体" w:eastAsia="宋体"/>
                <w:sz w:val="18"/>
                <w:szCs w:val="18"/>
                <w:lang w:val="en-US" w:eastAsia="zh-CN"/>
              </w:rPr>
              <w:t>替代），新的产品标准与原有产品标准相比较增加了新的内容和指标，导致现行的</w:t>
            </w:r>
            <w:r>
              <w:rPr>
                <w:rFonts w:hint="eastAsia" w:ascii="宋体" w:hAnsi="宋体" w:eastAsia="宋体"/>
                <w:sz w:val="18"/>
                <w:szCs w:val="18"/>
              </w:rPr>
              <w:t>T/CBMF 133-2021;T/CSTE 0035-2021</w:t>
            </w:r>
            <w:r>
              <w:rPr>
                <w:rFonts w:hint="eastAsia" w:ascii="宋体" w:hAnsi="宋体" w:eastAsia="宋体"/>
                <w:sz w:val="18"/>
                <w:szCs w:val="18"/>
                <w:lang w:val="en-US" w:eastAsia="zh-CN"/>
              </w:rPr>
              <w:t>标准存在指标遗漏或表述不清，如锁合力、耐光色牢度等等,除此之外，还有部分技术指标不适宜，如实木地板甲醛释放量等等。</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ascii="宋体" w:hAnsi="宋体" w:eastAsia="宋体"/>
                <w:sz w:val="18"/>
                <w:szCs w:val="18"/>
              </w:rPr>
            </w:pPr>
            <w:r>
              <w:rPr>
                <w:rFonts w:hint="eastAsia" w:ascii="宋体" w:hAnsi="宋体" w:eastAsia="宋体"/>
                <w:sz w:val="18"/>
                <w:szCs w:val="18"/>
                <w:lang w:val="en-US" w:eastAsia="zh-CN"/>
              </w:rPr>
              <w:t>基于上述原因，国检集团申请修订</w:t>
            </w:r>
            <w:r>
              <w:rPr>
                <w:rFonts w:hint="eastAsia" w:ascii="宋体" w:hAnsi="宋体" w:eastAsia="宋体"/>
                <w:sz w:val="18"/>
                <w:szCs w:val="18"/>
              </w:rPr>
              <w:t>T/CBMF 133-2021;T/CSTE 0035-2021</w:t>
            </w:r>
            <w:r>
              <w:rPr>
                <w:rFonts w:hint="eastAsia" w:ascii="宋体" w:hAnsi="宋体" w:eastAsia="宋体"/>
                <w:sz w:val="18"/>
                <w:szCs w:val="18"/>
                <w:lang w:val="en-US" w:eastAsia="zh-CN"/>
              </w:rPr>
              <w:t>《质量分级及“领跑者”评价要求 木质地板》标准，通过修订标准一方面可以为企业领跑者评价提供技术支撑，另一方面通过技术指标的更新，引导企业开发更高质量，更安全环保的产品，提升行业整体产品质量。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pPr>
              <w:snapToGrid w:val="0"/>
              <w:spacing w:line="360" w:lineRule="auto"/>
              <w:rPr>
                <w:rFonts w:ascii="宋体" w:hAnsi="宋体" w:eastAsia="宋体"/>
                <w:sz w:val="18"/>
                <w:szCs w:val="18"/>
                <w:u w:val="single"/>
              </w:rPr>
            </w:pPr>
            <w:r>
              <w:rPr>
                <w:rFonts w:hint="eastAsia" w:ascii="宋体" w:hAnsi="宋体" w:eastAsia="宋体"/>
                <w:sz w:val="18"/>
                <w:szCs w:val="18"/>
                <w:u w:val="single"/>
              </w:rPr>
              <w:t>标准的技术内容与适用范围；</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val="en-US" w:eastAsia="zh-CN"/>
              </w:rPr>
            </w:pPr>
            <w:r>
              <w:rPr>
                <w:rFonts w:hint="eastAsia" w:ascii="宋体" w:hAnsi="宋体" w:eastAsia="宋体"/>
                <w:sz w:val="18"/>
                <w:szCs w:val="18"/>
                <w:u w:val="none"/>
                <w:lang w:val="en-US" w:eastAsia="zh-CN"/>
              </w:rPr>
              <w:t>本标准规定了木质地板“领跑者”标准评价的术语和定义、评价指标体系和等级划分。</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本标准</w:t>
            </w:r>
            <w:r>
              <w:rPr>
                <w:rFonts w:hint="default" w:ascii="宋体" w:hAnsi="宋体" w:eastAsia="宋体"/>
                <w:sz w:val="18"/>
                <w:szCs w:val="18"/>
                <w:u w:val="none"/>
                <w:lang w:val="en-US" w:eastAsia="zh-CN"/>
              </w:rPr>
              <w:t>适用于</w:t>
            </w:r>
            <w:bookmarkStart w:id="2" w:name="_Hlk79757134"/>
            <w:r>
              <w:rPr>
                <w:rFonts w:hint="default" w:ascii="宋体" w:hAnsi="宋体" w:eastAsia="宋体"/>
                <w:sz w:val="18"/>
                <w:szCs w:val="18"/>
                <w:u w:val="none"/>
                <w:lang w:val="en-US" w:eastAsia="zh-CN"/>
              </w:rPr>
              <w:t>实木地板、实木复合地板、浸渍纸层压木质地板、竹集成材地板</w:t>
            </w:r>
            <w:bookmarkEnd w:id="2"/>
            <w:r>
              <w:rPr>
                <w:rFonts w:hint="default" w:ascii="宋体" w:hAnsi="宋体" w:eastAsia="宋体"/>
                <w:sz w:val="18"/>
                <w:szCs w:val="18"/>
                <w:u w:val="none"/>
                <w:lang w:val="en-US" w:eastAsia="zh-CN"/>
              </w:rPr>
              <w:t>等木质地板产品企业标准水平评价。相关机构在制定企业标准“领跑者”评估方案时可参考使用本文件。企业在制定企业标准时也可参照使用。</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本标准以国行标准为基准，参照T/CAS 700-2023;T/CSTE 0321-2023《质量分级及“领跑者”评价标准编制通则》相关原则编制标准基础指标和核心指标，重点选取环保性能（如甲醛释放量、TVOC释放量等）、特有功能（如导热性能）等制定产品创新指标。</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rPr>
            </w:pPr>
            <w:r>
              <w:rPr>
                <w:rFonts w:hint="eastAsia" w:ascii="宋体" w:hAnsi="宋体" w:eastAsia="宋体"/>
                <w:sz w:val="18"/>
                <w:szCs w:val="18"/>
                <w:u w:val="none"/>
                <w:lang w:val="en-US" w:eastAsia="zh-CN"/>
              </w:rPr>
              <w:t>本标准</w:t>
            </w:r>
            <w:r>
              <w:rPr>
                <w:rFonts w:hint="eastAsia" w:ascii="宋体" w:hAnsi="宋体" w:eastAsia="宋体"/>
                <w:sz w:val="18"/>
                <w:szCs w:val="18"/>
                <w:u w:val="none"/>
              </w:rPr>
              <w:t>主要章节如下：</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rPr>
            </w:pPr>
            <w:r>
              <w:rPr>
                <w:rFonts w:hint="eastAsia" w:ascii="宋体" w:hAnsi="宋体" w:eastAsia="宋体"/>
                <w:sz w:val="18"/>
                <w:szCs w:val="18"/>
                <w:u w:val="none"/>
              </w:rPr>
              <w:t>1.范围</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rPr>
            </w:pPr>
            <w:r>
              <w:rPr>
                <w:rFonts w:hint="eastAsia" w:ascii="宋体" w:hAnsi="宋体" w:eastAsia="宋体"/>
                <w:sz w:val="18"/>
                <w:szCs w:val="18"/>
                <w:u w:val="none"/>
              </w:rPr>
              <w:t>2.规范性引用文件</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rPr>
            </w:pPr>
            <w:r>
              <w:rPr>
                <w:rFonts w:hint="eastAsia" w:ascii="宋体" w:hAnsi="宋体" w:eastAsia="宋体"/>
                <w:sz w:val="18"/>
                <w:szCs w:val="18"/>
                <w:u w:val="none"/>
              </w:rPr>
              <w:t>3.术语和定义</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rPr>
            </w:pPr>
            <w:r>
              <w:rPr>
                <w:rFonts w:hint="eastAsia" w:ascii="宋体" w:hAnsi="宋体" w:eastAsia="宋体"/>
                <w:sz w:val="18"/>
                <w:szCs w:val="18"/>
                <w:u w:val="none"/>
                <w:lang w:val="en-US" w:eastAsia="zh-CN"/>
              </w:rPr>
              <w:t>4</w:t>
            </w:r>
            <w:r>
              <w:rPr>
                <w:rFonts w:hint="eastAsia" w:ascii="宋体" w:hAnsi="宋体" w:eastAsia="宋体"/>
                <w:sz w:val="18"/>
                <w:szCs w:val="18"/>
                <w:u w:val="none"/>
              </w:rPr>
              <w:t>.评价指标体系</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rPr>
            </w:pPr>
            <w:r>
              <w:rPr>
                <w:rFonts w:hint="eastAsia" w:ascii="宋体" w:hAnsi="宋体" w:eastAsia="宋体"/>
                <w:sz w:val="18"/>
                <w:szCs w:val="18"/>
                <w:u w:val="none"/>
                <w:lang w:val="en-US" w:eastAsia="zh-CN"/>
              </w:rPr>
              <w:t>4</w:t>
            </w:r>
            <w:r>
              <w:rPr>
                <w:rFonts w:hint="eastAsia" w:ascii="宋体" w:hAnsi="宋体" w:eastAsia="宋体"/>
                <w:sz w:val="18"/>
                <w:szCs w:val="18"/>
                <w:u w:val="none"/>
              </w:rPr>
              <w:t xml:space="preserve">.1基础指标要求 </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rPr>
            </w:pPr>
            <w:r>
              <w:rPr>
                <w:rFonts w:hint="eastAsia" w:ascii="宋体" w:hAnsi="宋体" w:eastAsia="宋体"/>
                <w:sz w:val="18"/>
                <w:szCs w:val="18"/>
                <w:u w:val="none"/>
                <w:lang w:val="en-US" w:eastAsia="zh-CN"/>
              </w:rPr>
              <w:t>4</w:t>
            </w:r>
            <w:r>
              <w:rPr>
                <w:rFonts w:hint="eastAsia" w:ascii="宋体" w:hAnsi="宋体" w:eastAsia="宋体"/>
                <w:sz w:val="18"/>
                <w:szCs w:val="18"/>
                <w:u w:val="none"/>
              </w:rPr>
              <w:t>.2 核心指标要求</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rPr>
            </w:pPr>
            <w:r>
              <w:rPr>
                <w:rFonts w:hint="eastAsia" w:ascii="宋体" w:hAnsi="宋体" w:eastAsia="宋体"/>
                <w:sz w:val="18"/>
                <w:szCs w:val="18"/>
                <w:u w:val="none"/>
              </w:rPr>
              <w:t>5.3 创新性指标要求</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ascii="宋体" w:hAnsi="宋体" w:eastAsia="宋体"/>
                <w:sz w:val="18"/>
                <w:szCs w:val="18"/>
              </w:rPr>
            </w:pPr>
            <w:r>
              <w:rPr>
                <w:rFonts w:hint="eastAsia" w:ascii="宋体" w:hAnsi="宋体" w:eastAsia="宋体"/>
                <w:sz w:val="18"/>
                <w:szCs w:val="18"/>
                <w:u w:val="none"/>
              </w:rPr>
              <w:t>6.</w:t>
            </w:r>
            <w:r>
              <w:rPr>
                <w:rFonts w:hint="eastAsia" w:ascii="宋体" w:hAnsi="宋体" w:eastAsia="宋体"/>
                <w:sz w:val="18"/>
                <w:szCs w:val="18"/>
                <w:u w:val="none"/>
                <w:lang w:val="en-US" w:eastAsia="zh-CN"/>
              </w:rPr>
              <w:t>等级划分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u w:val="single"/>
              </w:rPr>
              <w:t>1. 国内外对该技术研究情况简要说明：</w:t>
            </w:r>
            <w:r>
              <w:rPr>
                <w:rFonts w:hint="eastAsia" w:ascii="宋体" w:hAnsi="宋体" w:eastAsia="宋体"/>
                <w:sz w:val="18"/>
                <w:szCs w:val="18"/>
              </w:rPr>
              <w:t>国内外对该技术研究情况、进程及未来的发展；该技术是否相对稳定，如果不是的话，预计一下技术未来稳定的时间，提出的标准项目是否可作为未来技术发展的基础；</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rPr>
            </w:pPr>
            <w:r>
              <w:rPr>
                <w:rFonts w:hint="eastAsia" w:ascii="宋体" w:hAnsi="宋体" w:eastAsia="宋体"/>
                <w:sz w:val="18"/>
                <w:szCs w:val="18"/>
              </w:rPr>
              <w:t>我国木地板行业起步于20世纪80年代初，发展至今其行业标准化体系已相对完善，现行国家行业标准达60多项，包括实木地板产品执行的GB/T 15036.1《实木地板 第１部分：技术要求》，实木复合地板产品执行的GB/T 18103《实木复合地板》等。2017年发布实施的GB/T 35601-2017《绿色产品评价 人造板和木质地板》基于全生命周期理念，统筹考虑产品的资源属性、能源属性、环境属性和品质属性，其中在品质属性维度，针对木质地板产品的甲醛释放、挥发性有机化合物释放、可溶性重金属含量等指标提出了非常严格的要求。</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rPr>
            </w:pPr>
            <w:r>
              <w:rPr>
                <w:rFonts w:hint="eastAsia" w:ascii="宋体" w:hAnsi="宋体" w:eastAsia="宋体"/>
                <w:sz w:val="18"/>
                <w:szCs w:val="18"/>
              </w:rPr>
              <w:t>在国外，发达国家为了支持木质地板行业的绿色可持续发展，亦制订实施了一系列有效的绿色评价标准及标识制度，如德国“蓝天使”、北欧“白天鹅”、美国“绿色证章”、日本“生态标志”等，这些绿色标识通常基于产品生命周期理念，综合考虑原材料获取、产品设计、制造、使用、回收等各阶段产生的对资源、环境和人体健康影响的相关指标，其中同样针对影响室内空气质量和人体健康的有毒有害物质限量提出了非常严格的要求。</w:t>
            </w:r>
          </w:p>
          <w:p>
            <w:pPr>
              <w:snapToGrid w:val="0"/>
              <w:spacing w:line="360" w:lineRule="auto"/>
              <w:rPr>
                <w:rFonts w:hint="eastAsia" w:ascii="宋体" w:hAnsi="宋体" w:eastAsia="宋体"/>
                <w:sz w:val="18"/>
                <w:szCs w:val="18"/>
              </w:rPr>
            </w:pPr>
            <w:r>
              <w:rPr>
                <w:rFonts w:hint="eastAsia" w:ascii="宋体" w:hAnsi="宋体" w:eastAsia="宋体"/>
                <w:sz w:val="18"/>
                <w:szCs w:val="18"/>
                <w:u w:val="single"/>
              </w:rPr>
              <w:t>2. 项目与国际标准或国外先进标准采用程度的考虑：</w:t>
            </w:r>
            <w:r>
              <w:rPr>
                <w:rFonts w:hint="eastAsia" w:ascii="宋体" w:hAnsi="宋体" w:eastAsia="宋体"/>
                <w:sz w:val="18"/>
                <w:szCs w:val="18"/>
              </w:rPr>
              <w:t>该标准项目是否有对应的国际标准或国外先进标准，标准制定过程中如何考虑采用的问题；</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lang w:val="en-US" w:eastAsia="zh-CN"/>
              </w:rPr>
            </w:pPr>
            <w:r>
              <w:rPr>
                <w:rFonts w:hint="eastAsia" w:ascii="宋体" w:hAnsi="宋体" w:eastAsia="宋体"/>
                <w:sz w:val="18"/>
                <w:szCs w:val="18"/>
                <w:lang w:val="en-US" w:eastAsia="zh-CN"/>
              </w:rPr>
              <w:t>本标准无对应国际标准或国外先进标准</w:t>
            </w:r>
          </w:p>
          <w:p>
            <w:pPr>
              <w:snapToGrid w:val="0"/>
              <w:spacing w:line="360" w:lineRule="auto"/>
              <w:rPr>
                <w:rFonts w:hint="eastAsia" w:ascii="宋体" w:hAnsi="宋体" w:eastAsia="宋体"/>
                <w:color w:val="auto"/>
                <w:sz w:val="18"/>
                <w:szCs w:val="18"/>
              </w:rPr>
            </w:pPr>
            <w:r>
              <w:rPr>
                <w:rFonts w:hint="eastAsia" w:ascii="宋体" w:hAnsi="宋体" w:eastAsia="宋体"/>
                <w:color w:val="auto"/>
                <w:sz w:val="18"/>
                <w:szCs w:val="18"/>
                <w:u w:val="single"/>
              </w:rPr>
              <w:t>3. 与国内相关标准间的关系：</w:t>
            </w:r>
            <w:r>
              <w:rPr>
                <w:rFonts w:hint="eastAsia" w:ascii="宋体" w:hAnsi="宋体" w:eastAsia="宋体"/>
                <w:color w:val="auto"/>
                <w:sz w:val="18"/>
                <w:szCs w:val="18"/>
              </w:rPr>
              <w:t>该标准项目是否有相关的国家或行业标准，该标准项目与这些标准是什么关系，该标准项目在标准体系中的位置；</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rPr>
            </w:pPr>
            <w:r>
              <w:rPr>
                <w:rFonts w:hint="eastAsia" w:ascii="宋体" w:hAnsi="宋体" w:eastAsia="宋体"/>
                <w:sz w:val="18"/>
                <w:szCs w:val="18"/>
                <w:lang w:val="en-US" w:eastAsia="zh-CN"/>
              </w:rPr>
              <w:t>本标准无对应国家或行业标准。</w:t>
            </w:r>
          </w:p>
          <w:p>
            <w:pPr>
              <w:snapToGrid w:val="0"/>
              <w:spacing w:line="360" w:lineRule="auto"/>
              <w:rPr>
                <w:rFonts w:hint="eastAsia" w:ascii="宋体" w:hAnsi="宋体" w:eastAsia="宋体"/>
                <w:sz w:val="18"/>
                <w:szCs w:val="18"/>
                <w:u w:val="single"/>
              </w:rPr>
            </w:pPr>
            <w:r>
              <w:rPr>
                <w:rFonts w:hint="eastAsia" w:ascii="宋体" w:hAnsi="宋体" w:eastAsia="宋体"/>
                <w:sz w:val="18"/>
                <w:szCs w:val="18"/>
                <w:u w:val="single"/>
              </w:rPr>
              <w:t>4. 指出是否发现有知识产权的问题。</w:t>
            </w:r>
          </w:p>
          <w:p>
            <w:pPr>
              <w:keepNext w:val="0"/>
              <w:keepLines w:val="0"/>
              <w:pageBreakBefore w:val="0"/>
              <w:widowControl w:val="0"/>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single"/>
              </w:rPr>
            </w:pPr>
            <w:r>
              <w:rPr>
                <w:rFonts w:hint="eastAsia" w:ascii="宋体" w:hAnsi="宋体" w:eastAsia="宋体"/>
                <w:sz w:val="18"/>
                <w:szCs w:val="18"/>
                <w:u w:val="none"/>
                <w:lang w:val="en-US" w:eastAsia="zh-CN"/>
              </w:rPr>
              <w:t>本标准</w:t>
            </w:r>
            <w:r>
              <w:rPr>
                <w:rFonts w:hint="eastAsia" w:ascii="宋体" w:hAnsi="宋体" w:eastAsia="宋体"/>
                <w:sz w:val="18"/>
                <w:szCs w:val="18"/>
                <w:u w:val="none"/>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pPr>
              <w:pStyle w:val="4"/>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972" w:type="dxa"/>
            <w:gridSpan w:val="5"/>
            <w:vAlign w:val="center"/>
          </w:tcPr>
          <w:p>
            <w:pPr>
              <w:snapToGrid w:val="0"/>
              <w:spacing w:line="360" w:lineRule="auto"/>
              <w:jc w:val="center"/>
              <w:rPr>
                <w:rFonts w:ascii="宋体" w:hAnsi="宋体" w:eastAsia="宋体"/>
                <w:sz w:val="18"/>
                <w:szCs w:val="18"/>
              </w:rPr>
            </w:pPr>
          </w:p>
          <w:p>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归口管理部门</w:t>
            </w:r>
          </w:p>
        </w:tc>
        <w:tc>
          <w:tcPr>
            <w:tcW w:w="1900" w:type="dxa"/>
            <w:vAlign w:val="center"/>
          </w:tcPr>
          <w:p>
            <w:pPr>
              <w:snapToGrid w:val="0"/>
              <w:spacing w:line="360" w:lineRule="auto"/>
              <w:rPr>
                <w:rFonts w:ascii="宋体" w:hAnsi="宋体" w:eastAsia="宋体"/>
                <w:sz w:val="18"/>
                <w:szCs w:val="18"/>
              </w:rPr>
            </w:pPr>
          </w:p>
          <w:p>
            <w:pPr>
              <w:snapToGrid w:val="0"/>
              <w:rPr>
                <w:rFonts w:ascii="宋体" w:hAnsi="宋体" w:eastAsia="宋体"/>
                <w:sz w:val="18"/>
                <w:szCs w:val="18"/>
              </w:rPr>
            </w:pPr>
            <w:r>
              <w:rPr>
                <w:rFonts w:hint="eastAsia" w:ascii="宋体" w:hAnsi="宋体" w:eastAsia="宋体"/>
                <w:sz w:val="18"/>
                <w:szCs w:val="18"/>
              </w:rPr>
              <w:t>（签字、盖公章）</w:t>
            </w:r>
          </w:p>
          <w:p>
            <w:pPr>
              <w:snapToGrid w:val="0"/>
              <w:rPr>
                <w:rFonts w:ascii="宋体" w:hAnsi="宋体" w:eastAsia="宋体"/>
                <w:sz w:val="18"/>
                <w:szCs w:val="18"/>
              </w:rPr>
            </w:pPr>
            <w:r>
              <w:rPr>
                <w:rFonts w:hint="eastAsia" w:ascii="宋体" w:hAnsi="宋体" w:eastAsia="宋体"/>
                <w:sz w:val="18"/>
                <w:szCs w:val="18"/>
              </w:rPr>
              <w:t xml:space="preserve">    月     日</w:t>
            </w:r>
          </w:p>
        </w:tc>
      </w:tr>
    </w:tbl>
    <w:p>
      <w:pPr>
        <w:snapToGrid w:val="0"/>
        <w:spacing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mNWE4YTA1NDk0M2E3YTI2NWFhOGJlOGRjNGNjNjQifQ=="/>
  </w:docVars>
  <w:rsids>
    <w:rsidRoot w:val="00747499"/>
    <w:rsid w:val="00314295"/>
    <w:rsid w:val="00631028"/>
    <w:rsid w:val="00747499"/>
    <w:rsid w:val="00A618D0"/>
    <w:rsid w:val="00E03E1D"/>
    <w:rsid w:val="00F7264B"/>
    <w:rsid w:val="05BF772F"/>
    <w:rsid w:val="060E2DC3"/>
    <w:rsid w:val="17520EAB"/>
    <w:rsid w:val="6899324B"/>
    <w:rsid w:val="690B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28"/>
      <w:szCs w:val="20"/>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autoRedefine/>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autoRedefine/>
    <w:qFormat/>
    <w:uiPriority w:val="0"/>
    <w:rPr>
      <w:sz w:val="18"/>
      <w:szCs w:val="18"/>
    </w:rPr>
  </w:style>
  <w:style w:type="character" w:customStyle="1" w:styleId="8">
    <w:name w:val="页脚 Char"/>
    <w:basedOn w:val="6"/>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95</Words>
  <Characters>545</Characters>
  <Lines>4</Lines>
  <Paragraphs>1</Paragraphs>
  <TotalTime>14</TotalTime>
  <ScaleCrop>false</ScaleCrop>
  <LinksUpToDate>false</LinksUpToDate>
  <CharactersWithSpaces>639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cp:lastModifiedBy>
  <dcterms:modified xsi:type="dcterms:W3CDTF">2024-01-12T02:37:14Z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13EB7DB4567A4720908505FEAE31D2B1_13</vt:lpwstr>
  </property>
</Properties>
</file>